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08" w:lineRule="auto"/>
        <w:jc w:val="right"/>
      </w:pPr>
      <w:r>
        <w:rPr>
          <w:rFonts w:ascii="Times New Roman" w:hAnsi="Times New Roman"/>
          <w:color w:val="555555"/>
          <w:sz w:val="21"/>
        </w:rPr>
        <w:t>PR Ref: PR-2026-SHIPAY-ME-002  |  Date: September 2026</w:t>
      </w:r>
      <w:r/>
    </w:p>
    <w:p>
      <w:pPr>
        <w:pStyle w:val="Heading1"/>
        <w:jc w:val="center"/>
      </w:pPr>
      <w:r>
        <w:rPr>
          <w:rFonts w:ascii="Times New Roman" w:hAnsi="Times New Roman"/>
          <w:color w:val="1A2B5F"/>
          <w:sz w:val="40"/>
        </w:rPr>
        <w:t>Project Introduction &amp; Cooperation Invitation</w:t>
      </w:r>
      <w:r/>
    </w:p>
    <w:p>
      <w:pPr>
        <w:spacing w:line="408" w:lineRule="auto" w:before="40" w:after="200"/>
        <w:jc w:val="center"/>
      </w:pPr>
      <w:r>
        <w:rPr>
          <w:rFonts w:ascii="Times New Roman" w:hAnsi="Times New Roman"/>
          <w:color w:val="555555"/>
          <w:sz w:val="22"/>
        </w:rPr>
        <w:t>SHI-X Middle-East Flagship Showroom — Levant &amp; GCC</w:t>
      </w:r>
      <w:r/>
    </w:p>
    <w:p>
      <w:pPr>
        <w:spacing w:line="408" w:lineRule="auto"/>
      </w:pPr>
      <w:r>
        <w:rPr>
          <w:rFonts w:ascii="Times New Roman" w:hAnsi="Times New Roman"/>
          <w:sz w:val="24"/>
        </w:rPr>
        <w:t>Dear Sir or Madam,</w:t>
      </w:r>
      <w:r/>
    </w:p>
    <w:p>
      <w:pPr>
        <w:spacing w:line="408" w:lineRule="auto"/>
      </w:pPr>
      <w:r>
        <w:rPr>
          <w:rFonts w:ascii="Times New Roman" w:hAnsi="Times New Roman"/>
          <w:sz w:val="24"/>
        </w:rPr>
        <w:t xml:space="preserve">On behalf of </w:t>
      </w:r>
      <w:r>
        <w:rPr>
          <w:rFonts w:ascii="Times New Roman" w:hAnsi="Times New Roman"/>
          <w:b/>
          <w:sz w:val="24"/>
        </w:rPr>
        <w:t>SHI-X ENTERPRISE (Lebanon)</w:t>
      </w:r>
      <w:r>
        <w:rPr>
          <w:rFonts w:ascii="Times New Roman" w:hAnsi="Times New Roman"/>
          <w:sz w:val="24"/>
        </w:rPr>
        <w:t xml:space="preserve">, we are managing the equipment sourcing and vendor cooperation for its Middle-East flagship showroom in China. The lead company is </w:t>
      </w:r>
      <w:r>
        <w:rPr>
          <w:rFonts w:ascii="Times New Roman" w:hAnsi="Times New Roman"/>
          <w:b/>
          <w:sz w:val="24"/>
        </w:rPr>
        <w:t>Guangzhou Shibei Technology Co., Ltd.</w:t>
      </w:r>
      <w:r>
        <w:rPr>
          <w:rFonts w:ascii="Times New Roman" w:hAnsi="Times New Roman"/>
          <w:sz w:val="24"/>
        </w:rPr>
        <w:t xml:space="preserve">, with </w:t>
      </w:r>
      <w:r>
        <w:rPr>
          <w:rFonts w:ascii="Times New Roman" w:hAnsi="Times New Roman"/>
          <w:b/>
          <w:sz w:val="24"/>
        </w:rPr>
        <w:t>China Mobile</w:t>
      </w:r>
      <w:r>
        <w:rPr>
          <w:rFonts w:ascii="Times New Roman" w:hAnsi="Times New Roman"/>
          <w:sz w:val="24"/>
        </w:rPr>
        <w:t xml:space="preserve"> as the strategic ecosystem partner — in August 2026, Guangzhou Mobile and Guangzhou Shibei signed a comprehensive strategic cooperation agreement to build a benchmark for carrier-grade "AI Platform + Intelligent Agents" going global. After reviewing your company's technical strengths and market reputation in </w:t>
      </w:r>
      <w:r>
        <w:rPr>
          <w:rFonts w:ascii="Times New Roman" w:hAnsi="Times New Roman"/>
          <w:sz w:val="24"/>
        </w:rPr>
        <w:t>【</w:t>
      </w:r>
      <w:r>
        <w:rPr>
          <w:rFonts w:ascii="Times New Roman" w:hAnsi="Times New Roman"/>
          <w:sz w:val="24"/>
        </w:rPr>
        <w:t>Category Field</w:t>
      </w:r>
      <w:r>
        <w:rPr>
          <w:rFonts w:ascii="Times New Roman" w:hAnsi="Times New Roman"/>
          <w:sz w:val="24"/>
        </w:rPr>
        <w:t>】</w:t>
      </w:r>
      <w:r>
        <w:rPr>
          <w:rFonts w:ascii="Times New Roman" w:hAnsi="Times New Roman"/>
          <w:sz w:val="24"/>
        </w:rPr>
        <w:t>, we sincerely invite you to join the cooperation discussion for this project.</w:t>
      </w:r>
      <w:r/>
    </w:p>
    <w:p>
      <w:pPr>
        <w:pStyle w:val="Heading2"/>
      </w:pPr>
      <w:r>
        <w:rPr>
          <w:rFonts w:ascii="Times New Roman" w:hAnsi="Times New Roman"/>
          <w:color w:val="1A2B5F"/>
          <w:sz w:val="30"/>
        </w:rPr>
        <w:t>1. Project Overview</w:t>
      </w:r>
      <w:r/>
    </w:p>
    <w:tbl>
      <w:tblPr>
        <w:tblW w:type="pct" w:w="5000"/>
        <w:tblLook w:firstColumn="1" w:firstRow="1" w:lastColumn="0" w:lastRow="0" w:noHBand="0" w:noVBand="1" w:val="04A0"/>
        <w:tblLayout w:type="autofit"/>
      </w:tblPr>
      <w:tblGrid>
        <w:gridCol w:w="2592"/>
        <w:gridCol w:w="6048"/>
      </w:tblGrid>
      <w:tr>
        <w:tc>
          <w:tcPr>
            <w:tcW w:type="pct" w:w="1500"/>
            <w:vAlign w:val="center"/>
            <w:tcMar>
              <w:top w:w="120" w:type="dxa"/>
              <w:bottom w:w="120" w:type="dxa"/>
              <w:left w:w="160" w:type="dxa"/>
              <w:right w:w="160" w:type="dxa"/>
            </w:tcMar>
          </w:tcPr>
          <w:p>
            <w:pPr>
              <w:spacing w:line="240" w:lineRule="auto" w:before="72" w:after="72"/>
            </w:pPr>
            <w:r>
              <w:rPr>
                <w:rFonts w:ascii="Times New Roman" w:hAnsi="Times New Roman" w:eastAsia="Times New Roman"/>
                <w:b/>
                <w:sz w:val="24"/>
              </w:rPr>
              <w:t>Location</w:t>
            </w:r>
          </w:p>
        </w:tc>
        <w:tc>
          <w:tcPr>
            <w:tcW w:type="pct" w:w="3500"/>
            <w:vAlign w:val="center"/>
            <w:tcMar>
              <w:top w:w="120" w:type="dxa"/>
              <w:bottom w:w="120" w:type="dxa"/>
              <w:left w:w="160" w:type="dxa"/>
              <w:right w:w="160" w:type="dxa"/>
            </w:tcMar>
          </w:tcPr>
          <w:p>
            <w:pPr>
              <w:spacing w:line="240" w:lineRule="auto" w:before="72" w:after="72"/>
            </w:pPr>
            <w:r>
              <w:rPr>
                <w:rFonts w:ascii="Times New Roman" w:hAnsi="Times New Roman" w:eastAsia="Times New Roman"/>
                <w:sz w:val="24"/>
              </w:rPr>
              <w:t>Deir el-Balah, Lebanon — flagship showroom covering the Levant &amp; GCC markets (Lebanon / Saudi Arabia / UAE)</w:t>
            </w:r>
          </w:p>
        </w:tc>
      </w:tr>
      <w:tr>
        <w:tc>
          <w:tcPr>
            <w:tcW w:type="pct" w:w="1500"/>
            <w:vAlign w:val="center"/>
            <w:tcMar>
              <w:top w:w="120" w:type="dxa"/>
              <w:bottom w:w="120" w:type="dxa"/>
              <w:left w:w="160" w:type="dxa"/>
              <w:right w:w="160" w:type="dxa"/>
            </w:tcMar>
          </w:tcPr>
          <w:p>
            <w:pPr>
              <w:spacing w:line="240" w:lineRule="auto" w:before="72" w:after="72"/>
            </w:pPr>
            <w:r>
              <w:rPr>
                <w:rFonts w:ascii="Times New Roman" w:hAnsi="Times New Roman" w:eastAsia="Times New Roman"/>
                <w:b/>
                <w:sz w:val="24"/>
              </w:rPr>
              <w:t>Scale</w:t>
            </w:r>
          </w:p>
        </w:tc>
        <w:tc>
          <w:tcPr>
            <w:tcW w:type="pct" w:w="3500"/>
            <w:vAlign w:val="center"/>
            <w:tcMar>
              <w:top w:w="120" w:type="dxa"/>
              <w:bottom w:w="120" w:type="dxa"/>
              <w:left w:w="160" w:type="dxa"/>
              <w:right w:w="160" w:type="dxa"/>
            </w:tcMar>
          </w:tcPr>
          <w:p>
            <w:pPr>
              <w:spacing w:line="240" w:lineRule="auto" w:before="72" w:after="72"/>
            </w:pPr>
            <w:r>
              <w:rPr>
                <w:rFonts w:ascii="Times New Roman" w:hAnsi="Times New Roman" w:eastAsia="Times New Roman"/>
                <w:sz w:val="24"/>
              </w:rPr>
              <w:t>1,400 m² flagship smart-hardware ecosystem showroom (800 m² indoor + 600 m² terrace)</w:t>
            </w:r>
          </w:p>
        </w:tc>
      </w:tr>
      <w:tr>
        <w:tc>
          <w:tcPr>
            <w:tcW w:type="pct" w:w="1500"/>
            <w:vAlign w:val="center"/>
            <w:tcMar>
              <w:top w:w="120" w:type="dxa"/>
              <w:bottom w:w="120" w:type="dxa"/>
              <w:left w:w="160" w:type="dxa"/>
              <w:right w:w="160" w:type="dxa"/>
            </w:tcMar>
          </w:tcPr>
          <w:p>
            <w:pPr>
              <w:spacing w:line="240" w:lineRule="auto" w:before="72" w:after="72"/>
            </w:pPr>
            <w:r>
              <w:rPr>
                <w:rFonts w:ascii="Times New Roman" w:hAnsi="Times New Roman" w:eastAsia="Times New Roman"/>
                <w:b/>
                <w:sz w:val="24"/>
              </w:rPr>
              <w:t>Positioning</w:t>
            </w:r>
          </w:p>
        </w:tc>
        <w:tc>
          <w:tcPr>
            <w:tcW w:type="pct" w:w="3500"/>
            <w:vAlign w:val="center"/>
            <w:tcMar>
              <w:top w:w="120" w:type="dxa"/>
              <w:bottom w:w="120" w:type="dxa"/>
              <w:left w:w="160" w:type="dxa"/>
              <w:right w:w="160" w:type="dxa"/>
            </w:tcMar>
          </w:tcPr>
          <w:p>
            <w:pPr>
              <w:spacing w:line="240" w:lineRule="auto" w:before="72" w:after="72"/>
            </w:pPr>
            <w:r>
              <w:rPr>
                <w:rFonts w:ascii="Times New Roman" w:hAnsi="Times New Roman" w:eastAsia="Times New Roman"/>
                <w:sz w:val="24"/>
              </w:rPr>
              <w:t>Ecosystem showroom + B2B distribution &amp; experience platform — 40+ hardware categories on long-term display (humanoid robots, UAVs, cleaning &amp; delivery robots, LED walls, microgrid energy, etc.), serving regional government, enterprise and channel buyers</w:t>
            </w:r>
          </w:p>
        </w:tc>
      </w:tr>
      <w:tr>
        <w:tc>
          <w:tcPr>
            <w:tcW w:type="pct" w:w="1500"/>
            <w:vAlign w:val="center"/>
            <w:tcMar>
              <w:top w:w="120" w:type="dxa"/>
              <w:bottom w:w="120" w:type="dxa"/>
              <w:left w:w="160" w:type="dxa"/>
              <w:right w:w="160" w:type="dxa"/>
            </w:tcMar>
          </w:tcPr>
          <w:p>
            <w:pPr>
              <w:spacing w:line="240" w:lineRule="auto" w:before="72" w:after="72"/>
            </w:pPr>
            <w:r>
              <w:rPr>
                <w:rFonts w:ascii="Times New Roman" w:hAnsi="Times New Roman" w:eastAsia="Times New Roman"/>
                <w:b/>
                <w:sz w:val="24"/>
              </w:rPr>
              <w:t>Co-branding</w:t>
            </w:r>
          </w:p>
        </w:tc>
        <w:tc>
          <w:tcPr>
            <w:tcW w:type="pct" w:w="3500"/>
            <w:vAlign w:val="center"/>
            <w:tcMar>
              <w:top w:w="120" w:type="dxa"/>
              <w:bottom w:w="120" w:type="dxa"/>
              <w:left w:w="160" w:type="dxa"/>
              <w:right w:w="160" w:type="dxa"/>
            </w:tcMar>
          </w:tcPr>
          <w:p>
            <w:pPr>
              <w:spacing w:line="240" w:lineRule="auto" w:before="72" w:after="72"/>
            </w:pPr>
            <w:r>
              <w:rPr>
                <w:rFonts w:ascii="Times New Roman" w:hAnsi="Times New Roman" w:eastAsia="Times New Roman"/>
                <w:sz w:val="24"/>
              </w:rPr>
              <w:t>Unified "SHI-X × China Mobile" co-branded exposure alongside your own brand — a regional benchmark case</w:t>
            </w:r>
          </w:p>
        </w:tc>
      </w:tr>
    </w:tbl>
    <w:p>
      <w:r/>
    </w:p>
    <w:p>
      <w:pPr>
        <w:pStyle w:val="Heading2"/>
      </w:pPr>
      <w:r>
        <w:rPr>
          <w:rFonts w:ascii="Times New Roman" w:hAnsi="Times New Roman"/>
          <w:color w:val="1A2B5F"/>
          <w:sz w:val="30"/>
        </w:rPr>
        <w:t>2. Cooperation Models</w:t>
      </w:r>
      <w:r/>
    </w:p>
    <w:p>
      <w:pPr>
        <w:pStyle w:val="ListBullet"/>
        <w:spacing w:line="408" w:lineRule="auto" w:before="60" w:after="60"/>
      </w:pPr>
      <w:r>
        <w:rPr>
          <w:rFonts w:ascii="Times New Roman" w:hAnsi="Times New Roman"/>
          <w:b/>
          <w:sz w:val="24"/>
        </w:rPr>
        <w:t>Sales cooperation (preferred)</w:t>
      </w:r>
      <w:r>
        <w:rPr>
          <w:rFonts w:ascii="Times New Roman" w:hAnsi="Times New Roman"/>
          <w:sz w:val="24"/>
        </w:rPr>
        <w:t>: authorized dealership / regional agency / experience-center rights — you grant us sales rights in the target markets, with the showroom as the offline experience and lead-generation channel.</w:t>
      </w:r>
    </w:p>
    <w:p>
      <w:pPr>
        <w:pStyle w:val="ListBullet"/>
        <w:spacing w:line="408" w:lineRule="auto" w:before="60" w:after="60"/>
      </w:pPr>
      <w:r>
        <w:rPr>
          <w:rFonts w:ascii="Times New Roman" w:hAnsi="Times New Roman"/>
          <w:b/>
          <w:sz w:val="24"/>
        </w:rPr>
        <w:t>Exhibit cooperation</w:t>
      </w:r>
      <w:r>
        <w:rPr>
          <w:rFonts w:ascii="Times New Roman" w:hAnsi="Times New Roman"/>
          <w:sz w:val="24"/>
        </w:rPr>
        <w:t>: free loan → loan / rental → volume commitment (low first-year quota + tiered rebates) → purchase. Ownership, insurance, round-trip shipping and liability for exhibits will be set out in a separate Exhibition Cooperation Agreement.</w:t>
      </w:r>
      <w:r/>
    </w:p>
    <w:p>
      <w:pPr>
        <w:pStyle w:val="Heading2"/>
      </w:pPr>
      <w:r>
        <w:rPr>
          <w:rFonts w:ascii="Times New Roman" w:hAnsi="Times New Roman"/>
          <w:color w:val="1A2B5F"/>
          <w:sz w:val="30"/>
        </w:rPr>
        <w:t>3. Benefits for Your Company</w:t>
      </w:r>
      <w:r/>
    </w:p>
    <w:p>
      <w:pPr>
        <w:pStyle w:val="ListBullet"/>
        <w:spacing w:line="408" w:lineRule="auto" w:before="60" w:after="60"/>
      </w:pPr>
      <w:r>
        <w:rPr>
          <w:rFonts w:ascii="Times New Roman" w:hAnsi="Times New Roman"/>
          <w:sz w:val="24"/>
        </w:rPr>
        <w:t>First-to-market display space and sustained visitor exposure across Levant &amp; GCC;</w:t>
      </w:r>
    </w:p>
    <w:p>
      <w:pPr>
        <w:pStyle w:val="ListBullet"/>
        <w:spacing w:line="408" w:lineRule="auto" w:before="60" w:after="60"/>
      </w:pPr>
      <w:r>
        <w:rPr>
          <w:rFonts w:ascii="Times New Roman" w:hAnsi="Times New Roman"/>
          <w:sz w:val="24"/>
        </w:rPr>
        <w:t>"SHI-X × China Mobile" co-brand endorsement trusted by regional government and enterprise buyers;</w:t>
      </w:r>
    </w:p>
    <w:p>
      <w:pPr>
        <w:pStyle w:val="ListBullet"/>
        <w:spacing w:line="408" w:lineRule="auto" w:before="60" w:after="60"/>
      </w:pPr>
      <w:r>
        <w:rPr>
          <w:rFonts w:ascii="Times New Roman" w:hAnsi="Times New Roman"/>
          <w:sz w:val="24"/>
        </w:rPr>
        <w:t>Precise on-site B2B buyer matching that converts into regional orders;</w:t>
      </w:r>
    </w:p>
    <w:p>
      <w:pPr>
        <w:pStyle w:val="ListBullet"/>
        <w:spacing w:line="408" w:lineRule="auto" w:before="60" w:after="60"/>
      </w:pPr>
      <w:r>
        <w:rPr>
          <w:rFonts w:ascii="Times New Roman" w:hAnsi="Times New Roman"/>
          <w:sz w:val="24"/>
        </w:rPr>
        <w:t>Priority partnership for upcoming showrooms in Saudi Arabia and the UAE (a multi-country showroom series).</w:t>
      </w:r>
      <w:r/>
    </w:p>
    <w:p>
      <w:pPr>
        <w:pStyle w:val="Heading2"/>
      </w:pPr>
      <w:r>
        <w:rPr>
          <w:rFonts w:ascii="Times New Roman" w:hAnsi="Times New Roman"/>
          <w:color w:val="1A2B5F"/>
          <w:sz w:val="30"/>
        </w:rPr>
        <w:t>4. Categories in Scope</w:t>
      </w:r>
      <w:r/>
    </w:p>
    <w:p>
      <w:pPr>
        <w:spacing w:line="408" w:lineRule="auto"/>
      </w:pPr>
      <w:r>
        <w:rPr>
          <w:rFonts w:ascii="Times New Roman" w:hAnsi="Times New Roman"/>
          <w:sz w:val="24"/>
        </w:rPr>
        <w:t>【</w:t>
      </w:r>
      <w:r>
        <w:rPr>
          <w:rFonts w:ascii="Times New Roman" w:hAnsi="Times New Roman"/>
          <w:sz w:val="24"/>
        </w:rPr>
        <w:t>Category code &amp; name, e.g. 1.1 Conversational concierge humanoid robot with Lebanese Arabic LLM</w:t>
      </w:r>
      <w:r>
        <w:rPr>
          <w:rFonts w:ascii="Times New Roman" w:hAnsi="Times New Roman"/>
          <w:sz w:val="24"/>
        </w:rPr>
        <w:t>】</w:t>
      </w:r>
      <w:r>
        <w:rPr>
          <w:rFonts w:ascii="Times New Roman" w:hAnsi="Times New Roman"/>
          <w:sz w:val="24"/>
        </w:rPr>
        <w:t xml:space="preserve"> and related solutions. To support our internal evaluation and solution design, please kindly provide:</w:t>
      </w:r>
      <w:r/>
    </w:p>
    <w:p>
      <w:pPr>
        <w:pStyle w:val="ListBullet"/>
        <w:spacing w:line="408" w:lineRule="auto" w:before="60" w:after="60"/>
      </w:pPr>
      <w:r>
        <w:rPr>
          <w:rFonts w:ascii="Times New Roman" w:hAnsi="Times New Roman"/>
          <w:sz w:val="24"/>
        </w:rPr>
        <w:t>Reference cases in the Middle East / overseas markets and client lists;</w:t>
      </w:r>
    </w:p>
    <w:p>
      <w:pPr>
        <w:pStyle w:val="ListBullet"/>
        <w:spacing w:line="408" w:lineRule="auto" w:before="60" w:after="60"/>
      </w:pPr>
      <w:r>
        <w:rPr>
          <w:rFonts w:ascii="Times New Roman" w:hAnsi="Times New Roman"/>
          <w:sz w:val="24"/>
        </w:rPr>
        <w:t>Target-market certifications: CE, GCC (SASO / ECAS);</w:t>
      </w:r>
    </w:p>
    <w:p>
      <w:pPr>
        <w:pStyle w:val="ListBullet"/>
        <w:spacing w:line="408" w:lineRule="auto" w:before="60" w:after="60"/>
      </w:pPr>
      <w:r>
        <w:rPr>
          <w:rFonts w:ascii="Times New Roman" w:hAnsi="Times New Roman"/>
          <w:sz w:val="24"/>
        </w:rPr>
        <w:t>Quotation, MOQ and lead time (please indicate R&amp;D cycle for customized items);</w:t>
      </w:r>
    </w:p>
    <w:p>
      <w:pPr>
        <w:pStyle w:val="ListBullet"/>
        <w:spacing w:line="408" w:lineRule="auto" w:before="60" w:after="60"/>
      </w:pPr>
      <w:r>
        <w:rPr>
          <w:rFonts w:ascii="Times New Roman" w:hAnsi="Times New Roman"/>
          <w:sz w:val="24"/>
        </w:rPr>
        <w:t>Dealership / agency policy and exhibit cooperation intent.</w:t>
      </w:r>
      <w:r/>
    </w:p>
    <w:p>
      <w:pPr>
        <w:pStyle w:val="Heading2"/>
      </w:pPr>
      <w:r>
        <w:rPr>
          <w:rFonts w:ascii="Times New Roman" w:hAnsi="Times New Roman"/>
          <w:color w:val="1A2B5F"/>
          <w:sz w:val="30"/>
        </w:rPr>
        <w:t>5. Contact</w:t>
      </w:r>
      <w:r/>
    </w:p>
    <w:p>
      <w:pPr>
        <w:spacing w:line="408" w:lineRule="auto"/>
      </w:pPr>
      <w:r>
        <w:rPr>
          <w:rFonts w:ascii="Times New Roman" w:hAnsi="Times New Roman"/>
          <w:color w:val="333333"/>
          <w:sz w:val="22"/>
        </w:rPr>
        <w:t xml:space="preserve">Contact person: </w:t>
      </w:r>
      <w:r>
        <w:rPr>
          <w:rFonts w:ascii="Times New Roman" w:hAnsi="Times New Roman"/>
          <w:color w:val="333333"/>
          <w:sz w:val="22"/>
        </w:rPr>
        <w:t>【</w:t>
      </w:r>
      <w:r>
        <w:rPr>
          <w:rFonts w:ascii="Times New Roman" w:hAnsi="Times New Roman"/>
          <w:color w:val="333333"/>
          <w:sz w:val="22"/>
        </w:rPr>
        <w:t>Name / Title</w:t>
      </w:r>
      <w:r>
        <w:rPr>
          <w:rFonts w:ascii="Times New Roman" w:hAnsi="Times New Roman"/>
          <w:color w:val="333333"/>
          <w:sz w:val="22"/>
        </w:rPr>
        <w:t>】</w:t>
      </w:r>
      <w:r>
        <w:rPr>
          <w:rFonts w:ascii="Times New Roman" w:hAnsi="Times New Roman"/>
          <w:color w:val="333333"/>
          <w:sz w:val="22"/>
        </w:rPr>
        <w:t xml:space="preserve">  Phone / WeChat: </w:t>
      </w:r>
      <w:r>
        <w:rPr>
          <w:rFonts w:ascii="Times New Roman" w:hAnsi="Times New Roman"/>
          <w:color w:val="333333"/>
          <w:sz w:val="22"/>
        </w:rPr>
        <w:t>【</w:t>
      </w:r>
      <w:r>
        <w:rPr>
          <w:rFonts w:ascii="Times New Roman" w:hAnsi="Times New Roman"/>
          <w:color w:val="333333"/>
          <w:sz w:val="22"/>
        </w:rPr>
        <w:t>Number</w:t>
      </w:r>
      <w:r>
        <w:rPr>
          <w:rFonts w:ascii="Times New Roman" w:hAnsi="Times New Roman"/>
          <w:color w:val="333333"/>
          <w:sz w:val="22"/>
        </w:rPr>
        <w:t>】</w:t>
      </w:r>
      <w:r>
        <w:rPr>
          <w:rFonts w:ascii="Times New Roman" w:hAnsi="Times New Roman"/>
          <w:color w:val="333333"/>
          <w:sz w:val="22"/>
        </w:rPr>
        <w:t xml:space="preserve">  Email: </w:t>
      </w:r>
      <w:r>
        <w:rPr>
          <w:rFonts w:ascii="Times New Roman" w:hAnsi="Times New Roman"/>
          <w:color w:val="333333"/>
          <w:sz w:val="22"/>
        </w:rPr>
        <w:t>【</w:t>
      </w:r>
      <w:r>
        <w:rPr>
          <w:rFonts w:ascii="Times New Roman" w:hAnsi="Times New Roman"/>
          <w:color w:val="333333"/>
          <w:sz w:val="22"/>
        </w:rPr>
        <w:t>Email</w:t>
      </w:r>
      <w:r>
        <w:rPr>
          <w:rFonts w:ascii="Times New Roman" w:hAnsi="Times New Roman"/>
          <w:color w:val="333333"/>
          <w:sz w:val="22"/>
        </w:rPr>
        <w:t>】</w:t>
      </w:r>
      <w:r/>
    </w:p>
    <w:p>
      <w:pPr>
        <w:spacing w:line="408" w:lineRule="auto"/>
      </w:pPr>
      <w:r>
        <w:rPr>
          <w:rFonts w:ascii="Times New Roman" w:hAnsi="Times New Roman"/>
          <w:color w:val="333333"/>
          <w:sz w:val="22"/>
        </w:rPr>
        <w:t>We look forward to your reply and to building a long-term partnership in the Middle-East market.</w:t>
      </w:r>
      <w:r/>
    </w:p>
    <w:p>
      <w:pPr>
        <w:spacing w:line="408" w:lineRule="auto"/>
        <w:jc w:val="right"/>
      </w:pPr>
      <w:r>
        <w:rPr>
          <w:rFonts w:ascii="Times New Roman" w:hAnsi="Times New Roman"/>
          <w:color w:val="333333"/>
          <w:sz w:val="22"/>
        </w:rPr>
        <w:t>Guangzhou Shibei Technology Co., Ltd.</w:t>
        <w:br/>
      </w:r>
      <w:r>
        <w:rPr>
          <w:rFonts w:ascii="Times New Roman" w:hAnsi="Times New Roman"/>
          <w:color w:val="333333"/>
          <w:sz w:val="22"/>
        </w:rPr>
        <w:t>on behalf of the SHI-X ENTERPRISE project team</w:t>
        <w:br/>
      </w:r>
      <w:r>
        <w:rPr>
          <w:rFonts w:ascii="Times New Roman" w:hAnsi="Times New Roman"/>
          <w:color w:val="333333"/>
          <w:sz w:val="22"/>
        </w:rPr>
        <w:t>September 2026</w:t>
      </w:r>
      <w:r/>
      <w:r/>
      <w:r/>
    </w:p>
    <w:sectPr w:rsidR="00FC693F" w:rsidRPr="0006063C" w:rsidSect="00034616">
      <w:pgSz w:w="11906" w:h="16838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47" w:lineRule="auto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jc w:val="center"/>
      <w:outlineLvl w:val="0"/>
    </w:pPr>
    <w:rPr>
      <w:rFonts w:ascii="Times New Roman" w:hAnsi="Times New Roman" w:eastAsia="Times New Roman"/>
      <w:b/>
      <w:bCs/>
      <w:color w:val="1A2B5F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Times New Roman" w:hAnsi="Times New Roman" w:eastAsia="Times New Roman"/>
      <w:b/>
      <w:bCs/>
      <w:color w:val="1A2B5F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